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200"/>
        <w:jc w:val="center"/>
      </w:pPr>
      <w:r>
        <w:rPr>
          <w:rFonts w:ascii="Arial" w:cs="Arial" w:eastAsia="Arial" w:hAnsi="Arial"/>
          <w:b/>
          <w:bCs/>
          <w:color w:val="1B4F72"/>
          <w:sz w:val="56"/>
          <w:szCs w:val="56"/>
        </w:rPr>
        <w:t xml:space="preserve">FACTORY-TO-KEY</w:t>
      </w:r>
    </w:p>
    <w:p>
      <w:pPr>
        <w:spacing w:after="100"/>
        <w:jc w:val="center"/>
      </w:pPr>
      <w:r>
        <w:rPr>
          <w:rFonts w:ascii="Arial" w:cs="Arial" w:eastAsia="Arial" w:hAnsi="Arial"/>
          <w:b/>
          <w:bCs/>
          <w:color w:val="1B4F72"/>
          <w:sz w:val="44"/>
          <w:szCs w:val="44"/>
        </w:rPr>
        <w:t xml:space="preserve">OPPORTUNITY ASSESSMENT</w:t>
      </w:r>
    </w:p>
    <w:p>
      <w:pPr>
        <w:pBdr>
          <w:top w:val="single" w:color="85C1E9" w:sz="6" w:space="8"/>
        </w:pBdr>
        <w:spacing w:before="400" w:after="200"/>
        <w:jc w:val="center"/>
      </w:pPr>
      <w:r>
        <w:rPr>
          <w:rFonts w:ascii="Arial" w:cs="Arial" w:eastAsia="Arial" w:hAnsi="Arial"/>
          <w:color w:val="555555"/>
          <w:sz w:val="28"/>
          <w:szCs w:val="28"/>
        </w:rPr>
        <w:t xml:space="preserve">WA Department of Housing and Works</w:t>
      </w:r>
    </w:p>
    <w:p>
      <w:pPr>
        <w:spacing w:after="100"/>
        <w:jc w:val="center"/>
      </w:pPr>
      <w:r>
        <w:rPr>
          <w:rFonts w:ascii="Arial" w:cs="Arial" w:eastAsia="Arial" w:hAnsi="Arial"/>
          <w:color w:val="555555"/>
          <w:sz w:val="26"/>
          <w:szCs w:val="26"/>
        </w:rPr>
        <w:t xml:space="preserve">Public &amp; Social Housing Programs</w:t>
      </w:r>
    </w:p>
    <w:p>
      <w:pPr>
        <w:spacing w:after="600"/>
        <w:jc w:val="center"/>
      </w:pPr>
      <w:r>
        <w:rPr>
          <w:rFonts w:ascii="Arial" w:cs="Arial" w:eastAsia="Arial" w:hAnsi="Arial"/>
          <w:i/>
          <w:iCs/>
          <w:color w:val="777777"/>
          <w:sz w:val="24"/>
          <w:szCs w:val="24"/>
        </w:rPr>
        <w:t xml:space="preserve">Central Integrator &amp; Execution Project Management Model</w:t>
      </w:r>
    </w:p>
    <w:p>
      <w:pPr>
        <w:spacing w:after="100"/>
        <w:jc w:val="center"/>
      </w:pPr>
      <w:r>
        <w:rPr>
          <w:rFonts w:ascii="Arial" w:cs="Arial" w:eastAsia="Arial" w:hAnsi="Arial"/>
          <w:color w:val="888888"/>
          <w:sz w:val="22"/>
          <w:szCs w:val="22"/>
        </w:rPr>
        <w:t xml:space="preserve">Prepared: February 2026</w:t>
      </w:r>
    </w:p>
    <w:p>
      <w:pPr>
        <w:jc w:val="center"/>
      </w:pPr>
      <w:r>
        <w:rPr>
          <w:rFonts w:ascii="Arial" w:cs="Arial" w:eastAsia="Arial" w:hAnsi="Arial"/>
          <w:b/>
          <w:bCs/>
          <w:color w:val="CC0000"/>
          <w:sz w:val="22"/>
          <w:szCs w:val="22"/>
        </w:rPr>
        <w:t xml:space="preserve">CONFIDENTIAL</w:t>
      </w:r>
    </w:p>
    <w:p>
      <w:pPr>
        <w:sectPr>
          <w:pgSz w:w="11906" w:h="16838" w:orient="portrait"/>
          <w:pgMar w:top="1440" w:right="1440" w:bottom="1440" w:left="1440" w:header="708" w:footer="708" w:gutter="0"/>
          <w:pgNumType/>
          <w:docGrid w:linePitch="360"/>
        </w:sectPr>
      </w:pPr>
    </w:p>
    <w:p>
      <w:pPr>
        <w:pStyle w:val="Heading1"/>
      </w:pPr>
      <w:r>
        <w:t xml:space="preserve">1. Executive Summary</w:t>
      </w:r>
    </w:p>
    <w:p>
      <w:pPr>
        <w:spacing w:after="120"/>
      </w:pPr>
      <w:r>
        <w:rPr>
          <w:rFonts w:ascii="Arial" w:cs="Arial" w:eastAsia="Arial" w:hAnsi="Arial"/>
          <w:sz w:val="22"/>
          <w:szCs w:val="22"/>
        </w:rPr>
        <w:t xml:space="preserve">This assessment identifies the substantial opportunity to position as the Central Integrator and Execution Project Manager for the Western Australian Department of Housing and Works (DHW) public and social housing delivery programs. The DHW has released a comprehensive suite of 2025-dated design briefs, construction specifications, and investment priority maps that signal a major pipeline of housing procurement across metropolitan Perth, Peel, and regional WA including the Kimberley, Pilbara, and Northwest regions.</w:t>
      </w:r>
    </w:p>
    <w:p>
      <w:pPr>
        <w:spacing w:after="120"/>
      </w:pPr>
      <w:r>
        <w:rPr>
          <w:rFonts w:ascii="Arial" w:cs="Arial" w:eastAsia="Arial" w:hAnsi="Arial"/>
          <w:sz w:val="22"/>
          <w:szCs w:val="22"/>
        </w:rPr>
        <w:t xml:space="preserve">The Factory-to-Key model </w:t>
      </w:r>
      <w:r>
        <w:rPr>
          <w:rFonts w:ascii="Arial" w:cs="Arial" w:eastAsia="Arial" w:hAnsi="Arial"/>
          <w:b/>
          <w:bCs/>
          <w:sz w:val="22"/>
          <w:szCs w:val="22"/>
        </w:rPr>
        <w:t xml:space="preserve">coordinates multiple Australian and Asian manufacturers</w:t>
      </w:r>
      <w:r>
        <w:rPr>
          <w:rFonts w:ascii="Arial" w:cs="Arial" w:eastAsia="Arial" w:hAnsi="Arial"/>
          <w:sz w:val="22"/>
          <w:szCs w:val="22"/>
        </w:rPr>
        <w:t xml:space="preserve"> to deliver complete, compliant dwellings from factory floor to handed-over tenancy, managing the full value chain of design, off-site fabrication, logistics, site preparation, installation, commissioning, and defect-free handover.</w:t>
      </w:r>
    </w:p>
    <w:p>
      <w:pPr>
        <w:spacing w:after="120"/>
      </w:pPr>
      <w:r>
        <w:rPr>
          <w:rFonts w:ascii="Arial" w:cs="Arial" w:eastAsia="Arial" w:hAnsi="Arial"/>
          <w:sz w:val="22"/>
          <w:szCs w:val="22"/>
        </w:rPr>
        <w:t xml:space="preserve">The opportunity spans at minimum five distinct housing program streams, each with defined specifications effective 1 July 2025, covering BCA Class 1a, 2, 3, and 10 buildings in both standard and cyclone-rated configurations.</w:t>
      </w:r>
    </w:p>
    <w:p>
      <w:pPr>
        <w:pStyle w:val="Heading1"/>
      </w:pPr>
      <w:r>
        <w:t xml:space="preserve">2. The Client &amp; Program Context</w:t>
      </w:r>
    </w:p>
    <w:p>
      <w:pPr>
        <w:spacing w:after="120"/>
      </w:pPr>
      <w:r>
        <w:rPr>
          <w:rFonts w:ascii="Arial" w:cs="Arial" w:eastAsia="Arial" w:hAnsi="Arial"/>
          <w:sz w:val="22"/>
          <w:szCs w:val="22"/>
        </w:rPr>
        <w:t xml:space="preserve">The Government of Western Australia, Department of Housing and Works (formerly Housing Authority), headquartered at 130 Stirling Street, Perth WA 6000, is the principal. The DHW has released updated specifications and design briefs dated July 2025 covering the full range of social and public housing types across the state.</w:t>
      </w:r>
    </w:p>
    <w:p>
      <w:pPr>
        <w:pStyle w:val="Heading2"/>
      </w:pPr>
      <w:r>
        <w:t xml:space="preserve">2.1 Investment Priority Geography</w:t>
      </w:r>
    </w:p>
    <w:p>
      <w:pPr>
        <w:spacing w:after="120"/>
      </w:pPr>
      <w:r>
        <w:rPr>
          <w:rFonts w:ascii="Arial" w:cs="Arial" w:eastAsia="Arial" w:hAnsi="Arial"/>
          <w:sz w:val="22"/>
          <w:szCs w:val="22"/>
        </w:rPr>
        <w:t xml:space="preserve">The DHW has published suburb-level investment opportunity heat maps (August 2025) identifying highest-priority areas for new housing investment across two major zones:</w:t>
      </w:r>
    </w:p>
    <w:p>
      <w:pPr>
        <w:pStyle w:val="Heading3"/>
      </w:pPr>
      <w:r>
        <w:t xml:space="preserve">Perth Metropolitan Area</w:t>
      </w:r>
    </w:p>
    <w:p>
      <w:pPr>
        <w:pStyle w:val="ListParagraph"/>
        <w:numPr>
          <w:ilvl w:val="0"/>
          <w:numId w:val="2"/>
        </w:numPr>
      </w:pPr>
      <w:r>
        <w:rPr>
          <w:rFonts w:ascii="Arial" w:cs="Arial" w:eastAsia="Arial" w:hAnsi="Arial"/>
          <w:sz w:val="22"/>
          <w:szCs w:val="22"/>
        </w:rPr>
        <w:t xml:space="preserve">North Central Metro: Mirrabooka, Nollamara, Koondoola, Girrawheen, Balga (highest priority)</w:t>
      </w:r>
    </w:p>
    <w:p>
      <w:pPr>
        <w:pStyle w:val="ListParagraph"/>
        <w:numPr>
          <w:ilvl w:val="0"/>
          <w:numId w:val="2"/>
        </w:numPr>
      </w:pPr>
      <w:r>
        <w:rPr>
          <w:rFonts w:ascii="Arial" w:cs="Arial" w:eastAsia="Arial" w:hAnsi="Arial"/>
          <w:sz w:val="22"/>
          <w:szCs w:val="22"/>
        </w:rPr>
        <w:t xml:space="preserve">Cannington Region: Cannington, Queens Park, Bentley, Langford, Cloverdale</w:t>
      </w:r>
    </w:p>
    <w:p>
      <w:pPr>
        <w:pStyle w:val="ListParagraph"/>
        <w:numPr>
          <w:ilvl w:val="0"/>
          <w:numId w:val="2"/>
        </w:numPr>
      </w:pPr>
      <w:r>
        <w:rPr>
          <w:rFonts w:ascii="Arial" w:cs="Arial" w:eastAsia="Arial" w:hAnsi="Arial"/>
          <w:sz w:val="22"/>
          <w:szCs w:val="22"/>
        </w:rPr>
        <w:t xml:space="preserve">Armadale Region: Camillo, Gosnells, Maddington, Seville Grove, Kelmscott</w:t>
      </w:r>
    </w:p>
    <w:p>
      <w:pPr>
        <w:pStyle w:val="ListParagraph"/>
        <w:numPr>
          <w:ilvl w:val="0"/>
          <w:numId w:val="2"/>
        </w:numPr>
      </w:pPr>
      <w:r>
        <w:rPr>
          <w:rFonts w:ascii="Arial" w:cs="Arial" w:eastAsia="Arial" w:hAnsi="Arial"/>
          <w:sz w:val="22"/>
          <w:szCs w:val="22"/>
        </w:rPr>
        <w:t xml:space="preserve">Fremantle Region: Fremantle, Hamilton Hill, Hilton, Coolbellup, Willagee, Beaconsfield</w:t>
      </w:r>
    </w:p>
    <w:p>
      <w:pPr>
        <w:pStyle w:val="ListParagraph"/>
        <w:numPr>
          <w:ilvl w:val="0"/>
          <w:numId w:val="2"/>
        </w:numPr>
      </w:pPr>
      <w:r>
        <w:rPr>
          <w:rFonts w:ascii="Arial" w:cs="Arial" w:eastAsia="Arial" w:hAnsi="Arial"/>
          <w:sz w:val="22"/>
          <w:szCs w:val="22"/>
        </w:rPr>
        <w:t xml:space="preserve">North East Metro: Midland, Lockridge, Beechboro, Bassendean</w:t>
      </w:r>
    </w:p>
    <w:p>
      <w:pPr>
        <w:pStyle w:val="ListParagraph"/>
        <w:numPr>
          <w:ilvl w:val="0"/>
          <w:numId w:val="2"/>
        </w:numPr>
      </w:pPr>
      <w:r>
        <w:rPr>
          <w:rFonts w:ascii="Arial" w:cs="Arial" w:eastAsia="Arial" w:hAnsi="Arial"/>
          <w:sz w:val="22"/>
          <w:szCs w:val="22"/>
        </w:rPr>
        <w:t xml:space="preserve">Victoria Park Region: Carlisle, Karawara, Manning, St James</w:t>
      </w:r>
    </w:p>
    <w:p>
      <w:pPr>
        <w:pStyle w:val="Heading3"/>
      </w:pPr>
      <w:r>
        <w:t xml:space="preserve">Kwinana &amp; Peel Region</w:t>
      </w:r>
    </w:p>
    <w:p>
      <w:pPr>
        <w:pStyle w:val="ListParagraph"/>
        <w:numPr>
          <w:ilvl w:val="0"/>
          <w:numId w:val="2"/>
        </w:numPr>
      </w:pPr>
      <w:r>
        <w:rPr>
          <w:rFonts w:ascii="Arial" w:cs="Arial" w:eastAsia="Arial" w:hAnsi="Arial"/>
          <w:sz w:val="22"/>
          <w:szCs w:val="22"/>
        </w:rPr>
        <w:t xml:space="preserve">Highest priority: Medina, Calista, Orelia, Parmelia (Kwinana corridor)</w:t>
      </w:r>
    </w:p>
    <w:p>
      <w:pPr>
        <w:pStyle w:val="ListParagraph"/>
        <w:numPr>
          <w:ilvl w:val="0"/>
          <w:numId w:val="2"/>
        </w:numPr>
      </w:pPr>
      <w:r>
        <w:rPr>
          <w:rFonts w:ascii="Arial" w:cs="Arial" w:eastAsia="Arial" w:hAnsi="Arial"/>
          <w:sz w:val="22"/>
          <w:szCs w:val="22"/>
        </w:rPr>
        <w:t xml:space="preserve">High priority: Mandurah, Coodanup, Greenfields</w:t>
      </w:r>
    </w:p>
    <w:p>
      <w:pPr>
        <w:pStyle w:val="ListParagraph"/>
        <w:numPr>
          <w:ilvl w:val="0"/>
          <w:numId w:val="2"/>
        </w:numPr>
      </w:pPr>
      <w:r>
        <w:rPr>
          <w:rFonts w:ascii="Arial" w:cs="Arial" w:eastAsia="Arial" w:hAnsi="Arial"/>
          <w:sz w:val="22"/>
          <w:szCs w:val="22"/>
        </w:rPr>
        <w:t xml:space="preserve">Growth corridors: Baldivis, Bertram, Wandi, Byford, Haynes</w:t>
      </w:r>
    </w:p>
    <w:p>
      <w:pPr>
        <w:pStyle w:val="Heading3"/>
      </w:pPr>
      <w:r>
        <w:t xml:space="preserve">Regional WA (Northwest)</w:t>
      </w:r>
    </w:p>
    <w:p>
      <w:pPr>
        <w:pStyle w:val="ListParagraph"/>
        <w:numPr>
          <w:ilvl w:val="0"/>
          <w:numId w:val="2"/>
        </w:numPr>
      </w:pPr>
      <w:r>
        <w:rPr>
          <w:rFonts w:ascii="Arial" w:cs="Arial" w:eastAsia="Arial" w:hAnsi="Arial"/>
          <w:sz w:val="22"/>
          <w:szCs w:val="22"/>
        </w:rPr>
        <w:t xml:space="preserve">Kimberley region: Broome, Derby, Halls Creek, Kununurra, Wyndham</w:t>
      </w:r>
    </w:p>
    <w:p>
      <w:pPr>
        <w:pStyle w:val="ListParagraph"/>
        <w:numPr>
          <w:ilvl w:val="0"/>
          <w:numId w:val="2"/>
        </w:numPr>
      </w:pPr>
      <w:r>
        <w:rPr>
          <w:rFonts w:ascii="Arial" w:cs="Arial" w:eastAsia="Arial" w:hAnsi="Arial"/>
          <w:sz w:val="22"/>
          <w:szCs w:val="22"/>
        </w:rPr>
        <w:t xml:space="preserve">Pilbara region: Karratha, Port Hedland, Newman, Tom Price, Onslow</w:t>
      </w:r>
    </w:p>
    <w:p>
      <w:pPr>
        <w:pStyle w:val="ListParagraph"/>
        <w:numPr>
          <w:ilvl w:val="0"/>
          <w:numId w:val="2"/>
        </w:numPr>
      </w:pPr>
      <w:r>
        <w:rPr>
          <w:rFonts w:ascii="Arial" w:cs="Arial" w:eastAsia="Arial" w:hAnsi="Arial"/>
          <w:sz w:val="22"/>
          <w:szCs w:val="22"/>
        </w:rPr>
        <w:t xml:space="preserve">Aboriginal communities across the Northwest</w:t>
      </w:r>
    </w:p>
    <w:p>
      <w:pPr>
        <w:pStyle w:val="Heading1"/>
      </w:pPr>
      <w:r>
        <w:t xml:space="preserve">3. Five Distinct Program Streams</w:t>
      </w:r>
    </w:p>
    <w:p>
      <w:pPr>
        <w:spacing w:after="120"/>
      </w:pPr>
      <w:r>
        <w:rPr>
          <w:rFonts w:ascii="Arial" w:cs="Arial" w:eastAsia="Arial" w:hAnsi="Arial"/>
          <w:sz w:val="22"/>
          <w:szCs w:val="22"/>
        </w:rPr>
        <w:t xml:space="preserve">The project documentation identifies five separate but complementary housing delivery programs, each governed by its own design brief and applicable construction specifications: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2200"/>
        <w:gridCol w:w="1800"/>
        <w:gridCol w:w="2326"/>
      </w:tblGrid>
      <w:tr>
        <w:tc>
          <w:tcPr>
            <w:tcW w:type="dxa" w:w="5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w:t>
            </w:r>
          </w:p>
        </w:tc>
        <w:tc>
          <w:tcPr>
            <w:tcW w:type="dxa" w:w="22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Program Stream</w:t>
            </w:r>
          </w:p>
        </w:tc>
        <w:tc>
          <w:tcPr>
            <w:tcW w:type="dxa" w:w="22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Design Brief</w:t>
            </w:r>
          </w:p>
        </w:tc>
        <w:tc>
          <w:tcPr>
            <w:tcW w:type="dxa" w:w="18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BCA Class</w:t>
            </w:r>
          </w:p>
        </w:tc>
        <w:tc>
          <w:tcPr>
            <w:tcW w:type="dxa" w:w="2326"/>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Key Regions</w:t>
            </w:r>
          </w:p>
        </w:tc>
      </w:tr>
      <w:tr>
        <w:tc>
          <w:tcPr>
            <w:tcW w:type="dxa" w:w="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1</w:t>
            </w:r>
          </w:p>
        </w:tc>
        <w:tc>
          <w:tcPr>
            <w:tcW w:type="dxa" w:w="22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sz w:val="20"/>
                <w:szCs w:val="20"/>
              </w:rPr>
              <w:t xml:space="preserve">Single &amp; Grouped Dwellings</w:t>
            </w:r>
          </w:p>
        </w:tc>
        <w:tc>
          <w:tcPr>
            <w:tcW w:type="dxa" w:w="22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Design Brief – Single &amp; Grouped Dwellings 2025</w:t>
            </w:r>
          </w:p>
        </w:tc>
        <w:tc>
          <w:tcPr>
            <w:tcW w:type="dxa" w:w="1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Class 1a &amp; 10</w:t>
            </w:r>
          </w:p>
        </w:tc>
        <w:tc>
          <w:tcPr>
            <w:tcW w:type="dxa" w:w="2326"/>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Metro Perth, Peel, Regional</w:t>
            </w:r>
          </w:p>
        </w:tc>
      </w:tr>
      <w:tr>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Apartments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Design Brief – Apartments 2025</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Class 2 &amp; 3</w:t>
            </w:r>
          </w:p>
        </w:tc>
        <w:tc>
          <w:tcPr>
            <w:tcW w:type="dxa" w:w="23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Metro Perth, Urban Infill</w:t>
            </w:r>
          </w:p>
        </w:tc>
      </w:tr>
      <w:tr>
        <w:tc>
          <w:tcPr>
            <w:tcW w:type="dxa" w:w="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3</w:t>
            </w:r>
          </w:p>
        </w:tc>
        <w:tc>
          <w:tcPr>
            <w:tcW w:type="dxa" w:w="22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sz w:val="20"/>
                <w:szCs w:val="20"/>
              </w:rPr>
              <w:t xml:space="preserve">Government Regional Officer Housing (GROH)</w:t>
            </w:r>
          </w:p>
        </w:tc>
        <w:tc>
          <w:tcPr>
            <w:tcW w:type="dxa" w:w="22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Design Brief – GROH 2025</w:t>
            </w:r>
          </w:p>
        </w:tc>
        <w:tc>
          <w:tcPr>
            <w:tcW w:type="dxa" w:w="1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Class 1a &amp; 10</w:t>
            </w:r>
          </w:p>
        </w:tc>
        <w:tc>
          <w:tcPr>
            <w:tcW w:type="dxa" w:w="2326"/>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All Regional WA, North of 27° Lat</w:t>
            </w:r>
          </w:p>
        </w:tc>
      </w:tr>
      <w:tr>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Northwest Regional Social Housing</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Design Brief – NW Regional Social Housing 2025</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Class 1a &amp; 10</w:t>
            </w:r>
          </w:p>
        </w:tc>
        <w:tc>
          <w:tcPr>
            <w:tcW w:type="dxa" w:w="23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Kimberley, Pilbara</w:t>
            </w:r>
          </w:p>
        </w:tc>
      </w:tr>
      <w:tr>
        <w:tc>
          <w:tcPr>
            <w:tcW w:type="dxa" w:w="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5</w:t>
            </w:r>
          </w:p>
        </w:tc>
        <w:tc>
          <w:tcPr>
            <w:tcW w:type="dxa" w:w="22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sz w:val="20"/>
                <w:szCs w:val="20"/>
              </w:rPr>
              <w:t xml:space="preserve">Prefabricated / Modular Housing</w:t>
            </w:r>
          </w:p>
        </w:tc>
        <w:tc>
          <w:tcPr>
            <w:tcW w:type="dxa" w:w="22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Design &amp; Construct Spec – Prefabricated Housing 2025</w:t>
            </w:r>
          </w:p>
        </w:tc>
        <w:tc>
          <w:tcPr>
            <w:tcW w:type="dxa" w:w="1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Class 1a &amp; 10</w:t>
            </w:r>
          </w:p>
        </w:tc>
        <w:tc>
          <w:tcPr>
            <w:tcW w:type="dxa" w:w="2326"/>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Northwest, Remote, GROH sites</w:t>
            </w:r>
          </w:p>
        </w:tc>
      </w:tr>
    </w:tbl>
    <w:p>
      <w:pPr>
        <w:spacing w:after="120"/>
      </w:pPr>
      <w:r>
        <w:rPr>
          <w:rFonts w:ascii="Arial" w:cs="Arial" w:eastAsia="Arial" w:hAnsi="Arial"/>
          <w:sz w:val="22"/>
          <w:szCs w:val="22"/>
        </w:rPr>
        <w:t xml:space="preserve"/>
      </w:r>
    </w:p>
    <w:p>
      <w:pPr>
        <w:pStyle w:val="Heading1"/>
      </w:pPr>
      <w:r>
        <w:t xml:space="preserve">4. Construction Specification Framework</w:t>
      </w:r>
    </w:p>
    <w:p>
      <w:pPr>
        <w:spacing w:after="120"/>
      </w:pPr>
      <w:r>
        <w:rPr>
          <w:rFonts w:ascii="Arial" w:cs="Arial" w:eastAsia="Arial" w:hAnsi="Arial"/>
          <w:sz w:val="22"/>
          <w:szCs w:val="22"/>
        </w:rPr>
        <w:t xml:space="preserve">The DHW has published a comprehensive, NATSPEC-based specification framework effective 1 July 2025 that governs all housing delivery. This framework is critical to understand for any Central Integrator role:</w:t>
      </w:r>
    </w:p>
    <w:p>
      <w:pPr>
        <w:pStyle w:val="Heading2"/>
      </w:pPr>
      <w:r>
        <w:t xml:space="preserve">4.1 Core Specifications</w:t>
      </w:r>
    </w:p>
    <w:p>
      <w:pPr>
        <w:pStyle w:val="ListParagraph"/>
        <w:numPr>
          <w:ilvl w:val="0"/>
          <w:numId w:val="2"/>
        </w:numPr>
      </w:pPr>
      <w:r>
        <w:rPr>
          <w:rFonts w:ascii="Arial" w:cs="Arial" w:eastAsia="Arial" w:hAnsi="Arial"/>
          <w:sz w:val="22"/>
          <w:szCs w:val="22"/>
        </w:rPr>
        <w:t xml:space="preserve">Construction Specification – BCA Class 1a and 10 Buildings (2025): Covers all single dwellings, grouped dwellings, carports, garages, and ancillary structures. Includes light steel framing (NASH-1/NASH-2 compliant), light timber framing, concrete, roofing, cladding, waterproofing, internal fitout, plumbing, electrical, and HVAC.</w:t>
      </w:r>
    </w:p>
    <w:p>
      <w:pPr>
        <w:pStyle w:val="ListParagraph"/>
        <w:numPr>
          <w:ilvl w:val="0"/>
          <w:numId w:val="2"/>
        </w:numPr>
      </w:pPr>
      <w:r>
        <w:rPr>
          <w:rFonts w:ascii="Arial" w:cs="Arial" w:eastAsia="Arial" w:hAnsi="Arial"/>
          <w:sz w:val="22"/>
          <w:szCs w:val="22"/>
        </w:rPr>
        <w:t xml:space="preserve">Construction Specification – BCA Class 2 and 3 Buildings (2025): Covers apartment buildings and boarding houses. Includes additional fire performance requirements, acoustic separation, carpet specifications, and multi-storey structural requirements.</w:t>
      </w:r>
    </w:p>
    <w:p>
      <w:pPr>
        <w:pStyle w:val="ListParagraph"/>
        <w:numPr>
          <w:ilvl w:val="0"/>
          <w:numId w:val="2"/>
        </w:numPr>
      </w:pPr>
      <w:r>
        <w:rPr>
          <w:rFonts w:ascii="Arial" w:cs="Arial" w:eastAsia="Arial" w:hAnsi="Arial"/>
          <w:sz w:val="22"/>
          <w:szCs w:val="22"/>
        </w:rPr>
        <w:t xml:space="preserve">Design and Construct Specification – Prefabricated Housing (2025): The most directly relevant specification for the Factory-to-Key model. Covers the complete lifecycle from proposal through design development, prototype fabrication and testing, module unit fabrication, transportation, site preparation, installation, and commissioning.</w:t>
      </w:r>
    </w:p>
    <w:p>
      <w:pPr>
        <w:pStyle w:val="Heading2"/>
      </w:pPr>
      <w:r>
        <w:t xml:space="preserve">4.2 Supplement Specifications</w:t>
      </w:r>
    </w:p>
    <w:p>
      <w:pPr>
        <w:pStyle w:val="ListParagraph"/>
        <w:numPr>
          <w:ilvl w:val="0"/>
          <w:numId w:val="2"/>
        </w:numPr>
      </w:pPr>
      <w:r>
        <w:rPr>
          <w:rFonts w:ascii="Arial" w:cs="Arial" w:eastAsia="Arial" w:hAnsi="Arial"/>
          <w:sz w:val="22"/>
          <w:szCs w:val="22"/>
        </w:rPr>
        <w:t xml:space="preserve">Supplement 1 – Wind Regions B2, C and D: Additional requirements for cyclone-rated construction including cyclone debris screens, enhanced steel framing, upgraded roof battens (G550 steel, min 0.75mm BMT), and cyclone-rated fencing. Design wind regions to AS/NZS 1170.2 (2021).</w:t>
      </w:r>
    </w:p>
    <w:p>
      <w:pPr>
        <w:pStyle w:val="ListParagraph"/>
        <w:numPr>
          <w:ilvl w:val="0"/>
          <w:numId w:val="2"/>
        </w:numPr>
      </w:pPr>
      <w:r>
        <w:rPr>
          <w:rFonts w:ascii="Arial" w:cs="Arial" w:eastAsia="Arial" w:hAnsi="Arial"/>
          <w:sz w:val="22"/>
          <w:szCs w:val="22"/>
        </w:rPr>
        <w:t xml:space="preserve">Supplement 2 – Government Regional Officer Housing: Specific finishes, durability, and amenity requirements for GROH dwellings in remote/regional areas.</w:t>
      </w:r>
    </w:p>
    <w:p>
      <w:pPr>
        <w:pStyle w:val="ListParagraph"/>
        <w:numPr>
          <w:ilvl w:val="0"/>
          <w:numId w:val="2"/>
        </w:numPr>
      </w:pPr>
      <w:r>
        <w:rPr>
          <w:rFonts w:ascii="Arial" w:cs="Arial" w:eastAsia="Arial" w:hAnsi="Arial"/>
          <w:sz w:val="22"/>
          <w:szCs w:val="22"/>
        </w:rPr>
        <w:t xml:space="preserve">Supplement 3 – Aboriginal Communities and North West Housing: Enhanced durability requirements, slatted cyclone fencing (withstand Wind Region C and D), mass concrete paving, and specific irrigation and landscaping provisions for harsh climate conditions.</w:t>
      </w:r>
    </w:p>
    <w:p>
      <w:r>
        <w:br w:type="page"/>
      </w:r>
    </w:p>
    <w:p>
      <w:pPr>
        <w:pStyle w:val="Heading1"/>
      </w:pPr>
      <w:r>
        <w:t xml:space="preserve">5. The Factory-to-Key Central Integrator Model</w:t>
      </w:r>
    </w:p>
    <w:p>
      <w:pPr>
        <w:spacing w:after="120"/>
      </w:pPr>
      <w:r>
        <w:rPr>
          <w:rFonts w:ascii="Arial" w:cs="Arial" w:eastAsia="Arial" w:hAnsi="Arial"/>
          <w:sz w:val="22"/>
          <w:szCs w:val="22"/>
        </w:rPr>
        <w:t xml:space="preserve">As the Central Integrator and Execution Project Manager, the role encompasses end-to-end coordination of housing delivery from factory production through to key handover. The model leverages multiple manufacturers across Australia and Asia to deliver compliant, cost-effective housing at scale.</w:t>
      </w:r>
    </w:p>
    <w:p>
      <w:pPr>
        <w:pStyle w:val="Heading2"/>
      </w:pPr>
      <w:r>
        <w:t xml:space="preserve">5.1 Value Chain Scope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3200"/>
        <w:gridCol w:w="4026"/>
      </w:tblGrid>
      <w:tr>
        <w:tc>
          <w:tcPr>
            <w:tcW w:type="dxa" w:w="18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Phase</w:t>
            </w:r>
          </w:p>
        </w:tc>
        <w:tc>
          <w:tcPr>
            <w:tcW w:type="dxa" w:w="32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Central Integrator Role</w:t>
            </w:r>
          </w:p>
        </w:tc>
        <w:tc>
          <w:tcPr>
            <w:tcW w:type="dxa" w:w="4026"/>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Manufacturer Coordination</w:t>
            </w:r>
          </w:p>
        </w:tc>
      </w:tr>
      <w:tr>
        <w:tc>
          <w:tcPr>
            <w:tcW w:type="dxa" w:w="1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sz w:val="20"/>
                <w:szCs w:val="20"/>
              </w:rPr>
              <w:t xml:space="preserve">1. Design Development</w:t>
            </w:r>
          </w:p>
        </w:tc>
        <w:tc>
          <w:tcPr>
            <w:tcW w:type="dxa" w:w="32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Translate DHW design briefs into manufacturer-ready production documentation. Manage 50% and 100% design review submissions.</w:t>
            </w:r>
          </w:p>
        </w:tc>
        <w:tc>
          <w:tcPr>
            <w:tcW w:type="dxa" w:w="4026"/>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Coordinate with Australian steel frame fabricators, Asian flat-pack/modular manufacturers, and local subcontractors for site-specific design elements.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2. Prototype &amp; QA</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Manage prototype construction and inspection program. Coordinate testing and verification of compliance with NCC and DHW specs.</w:t>
            </w:r>
          </w:p>
        </w:tc>
        <w:tc>
          <w:tcPr>
            <w:tcW w:type="dxa" w:w="4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Oversee prototype builds at manufacturer facilities (AU and Asia). Manage non-compliance corrective action plans.</w:t>
            </w:r>
          </w:p>
        </w:tc>
      </w:tr>
      <w:tr>
        <w:tc>
          <w:tcPr>
            <w:tcW w:type="dxa" w:w="1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sz w:val="20"/>
                <w:szCs w:val="20"/>
              </w:rPr>
              <w:t xml:space="preserve">3. Fabrication</w:t>
            </w:r>
          </w:p>
        </w:tc>
        <w:tc>
          <w:tcPr>
            <w:tcW w:type="dxa" w:w="32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Production scheduling across multiple manufacturers. Quality control program including hold points and inspections.</w:t>
            </w:r>
          </w:p>
        </w:tc>
        <w:tc>
          <w:tcPr>
            <w:tcW w:type="dxa" w:w="4026"/>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Australian manufacturers: steel framing, concrete elements. Asian manufacturers: modular units, joinery, cabinetry, prefab bathroom/kitchen pods.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4. Transportation</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Route planning, permit management, and logistics coordination for oversize loads. Especially critical for NW deliveries.</w:t>
            </w:r>
          </w:p>
        </w:tc>
        <w:tc>
          <w:tcPr>
            <w:tcW w:type="dxa" w:w="4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Shipping from Asian ports to Fremantle/regional ports. Road transport from AU factories and ports to remote sites.</w:t>
            </w:r>
          </w:p>
        </w:tc>
      </w:tr>
      <w:tr>
        <w:tc>
          <w:tcPr>
            <w:tcW w:type="dxa" w:w="1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sz w:val="20"/>
                <w:szCs w:val="20"/>
              </w:rPr>
              <w:t xml:space="preserve">5. Site Preparation</w:t>
            </w:r>
          </w:p>
        </w:tc>
        <w:tc>
          <w:tcPr>
            <w:tcW w:type="dxa" w:w="32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Manage demolition, earthworks, termite management, service trenching, foundations, and footings per site geotechnical conditions.</w:t>
            </w:r>
          </w:p>
        </w:tc>
        <w:tc>
          <w:tcPr>
            <w:tcW w:type="dxa" w:w="4026"/>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Local civil contractors, geotechnical consultants, surveyors. Coordinate with local government authorities for drainage and crossover requirements.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6. Installation</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Coordinate module installation, service connections, external works including fencing, landscaping, driveways, and rainwater systems.</w:t>
            </w:r>
          </w:p>
        </w:tc>
        <w:tc>
          <w:tcPr>
            <w:tcW w:type="dxa" w:w="4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Licensed local trades for plumbing, electrical, HVAC connections. Specialist installers for cyclone screens, solar systems.</w:t>
            </w:r>
          </w:p>
        </w:tc>
      </w:tr>
      <w:tr>
        <w:tc>
          <w:tcPr>
            <w:tcW w:type="dxa" w:w="1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sz w:val="20"/>
                <w:szCs w:val="20"/>
              </w:rPr>
              <w:t xml:space="preserve">7. Commissioning &amp; Handover</w:t>
            </w:r>
          </w:p>
        </w:tc>
        <w:tc>
          <w:tcPr>
            <w:tcW w:type="dxa" w:w="32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Final inspections, as-constructed documentation, defect rectification, and key handover to DHW.</w:t>
            </w:r>
          </w:p>
        </w:tc>
        <w:tc>
          <w:tcPr>
            <w:tcW w:type="dxa" w:w="4026"/>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Coordinate manufacturer warranties, operations manuals, and maintenance schedules.</w:t>
            </w:r>
          </w:p>
        </w:tc>
      </w:tr>
    </w:tbl>
    <w:p>
      <w:pPr>
        <w:spacing w:after="120"/>
      </w:pPr>
      <w:r>
        <w:rPr>
          <w:rFonts w:ascii="Arial" w:cs="Arial" w:eastAsia="Arial" w:hAnsi="Arial"/>
          <w:sz w:val="22"/>
          <w:szCs w:val="22"/>
        </w:rPr>
        <w:t xml:space="preserve"/>
      </w:r>
    </w:p>
    <w:p>
      <w:pPr>
        <w:pStyle w:val="Heading2"/>
      </w:pPr>
      <w:r>
        <w:t xml:space="preserve">5.2 Multi-Manufacturer Strategy</w:t>
      </w:r>
    </w:p>
    <w:p>
      <w:pPr>
        <w:spacing w:after="120"/>
      </w:pPr>
      <w:r>
        <w:rPr>
          <w:rFonts w:ascii="Arial" w:cs="Arial" w:eastAsia="Arial" w:hAnsi="Arial"/>
          <w:sz w:val="22"/>
          <w:szCs w:val="22"/>
        </w:rPr>
        <w:t xml:space="preserve">The Central Integrator model enables best-in-class sourcing by engaging specialist manufacturers for different components and building systems:</w:t>
      </w:r>
    </w:p>
    <w:p>
      <w:pPr>
        <w:pStyle w:val="Heading3"/>
      </w:pPr>
      <w:r>
        <w:t xml:space="preserve">Australian Manufacturers</w:t>
      </w:r>
    </w:p>
    <w:p>
      <w:pPr>
        <w:pStyle w:val="ListParagraph"/>
        <w:numPr>
          <w:ilvl w:val="0"/>
          <w:numId w:val="2"/>
        </w:numPr>
      </w:pPr>
      <w:r>
        <w:rPr>
          <w:rFonts w:ascii="Arial" w:cs="Arial" w:eastAsia="Arial" w:hAnsi="Arial"/>
          <w:sz w:val="22"/>
          <w:szCs w:val="22"/>
        </w:rPr>
        <w:t xml:space="preserve">Light steel framing fabricators (NASH-1/NASH-2 compliant, AS/NZS 4600): Prefabricated wall frames, roof trusses, floor cassettes with cyclone-rated connections for Wind Regions C and D.</w:t>
      </w:r>
    </w:p>
    <w:p>
      <w:pPr>
        <w:pStyle w:val="ListParagraph"/>
        <w:numPr>
          <w:ilvl w:val="0"/>
          <w:numId w:val="2"/>
        </w:numPr>
      </w:pPr>
      <w:r>
        <w:rPr>
          <w:rFonts w:ascii="Arial" w:cs="Arial" w:eastAsia="Arial" w:hAnsi="Arial"/>
          <w:sz w:val="22"/>
          <w:szCs w:val="22"/>
        </w:rPr>
        <w:t xml:space="preserve">Precast concrete suppliers: Foundations, floor systems with shear keys and in-situ topping (minimum N32 grade).</w:t>
      </w:r>
    </w:p>
    <w:p>
      <w:pPr>
        <w:pStyle w:val="ListParagraph"/>
        <w:numPr>
          <w:ilvl w:val="0"/>
          <w:numId w:val="2"/>
        </w:numPr>
      </w:pPr>
      <w:r>
        <w:rPr>
          <w:rFonts w:ascii="Arial" w:cs="Arial" w:eastAsia="Arial" w:hAnsi="Arial"/>
          <w:sz w:val="22"/>
          <w:szCs w:val="22"/>
        </w:rPr>
        <w:t xml:space="preserve">Roofing and cladding manufacturers: Metallic-coated steel sheet to AS 1397, cyclone-rated fastening systems.</w:t>
      </w:r>
    </w:p>
    <w:p>
      <w:pPr>
        <w:pStyle w:val="ListParagraph"/>
        <w:numPr>
          <w:ilvl w:val="0"/>
          <w:numId w:val="2"/>
        </w:numPr>
      </w:pPr>
      <w:r>
        <w:rPr>
          <w:rFonts w:ascii="Arial" w:cs="Arial" w:eastAsia="Arial" w:hAnsi="Arial"/>
          <w:sz w:val="22"/>
          <w:szCs w:val="22"/>
        </w:rPr>
        <w:t xml:space="preserve">HVAC and mechanical services: Split system and ducted AC units designed for tropical conditions (Kimberley/Pilbara).</w:t>
      </w:r>
    </w:p>
    <w:p>
      <w:pPr>
        <w:pStyle w:val="Heading3"/>
      </w:pPr>
      <w:r>
        <w:t xml:space="preserve">Offshore (Asia) Manufacturers</w:t>
      </w:r>
    </w:p>
    <w:p>
      <w:pPr>
        <w:pStyle w:val="ListParagraph"/>
        <w:numPr>
          <w:ilvl w:val="0"/>
          <w:numId w:val="2"/>
        </w:numPr>
      </w:pPr>
      <w:r>
        <w:rPr>
          <w:rFonts w:ascii="Arial" w:cs="Arial" w:eastAsia="Arial" w:hAnsi="Arial"/>
          <w:sz w:val="22"/>
          <w:szCs w:val="22"/>
        </w:rPr>
        <w:t xml:space="preserve">Modular housing units: Complete box-modules fabricated in factory conditions for transport and site assembly, designed for future disassembly and relocation per DHW spec requirements.</w:t>
      </w:r>
    </w:p>
    <w:p>
      <w:pPr>
        <w:pStyle w:val="ListParagraph"/>
        <w:numPr>
          <w:ilvl w:val="0"/>
          <w:numId w:val="2"/>
        </w:numPr>
      </w:pPr>
      <w:r>
        <w:rPr>
          <w:rFonts w:ascii="Arial" w:cs="Arial" w:eastAsia="Arial" w:hAnsi="Arial"/>
          <w:sz w:val="22"/>
          <w:szCs w:val="22"/>
        </w:rPr>
        <w:t xml:space="preserve">Joinery and cabinetry: Kitchen and laundry cabinetry packages meeting DHW fitout specifications (stainless steel troughs, specific GPO configurations, etc).</w:t>
      </w:r>
    </w:p>
    <w:p>
      <w:pPr>
        <w:pStyle w:val="ListParagraph"/>
        <w:numPr>
          <w:ilvl w:val="0"/>
          <w:numId w:val="2"/>
        </w:numPr>
      </w:pPr>
      <w:r>
        <w:rPr>
          <w:rFonts w:ascii="Arial" w:cs="Arial" w:eastAsia="Arial" w:hAnsi="Arial"/>
          <w:sz w:val="22"/>
          <w:szCs w:val="22"/>
        </w:rPr>
        <w:t xml:space="preserve">Prefabricated bathroom/kitchen pods: Complete wet-area modules with waterproofing, tiling, fixtures pre-installed to AS/NZS 3500 and AS 3740.</w:t>
      </w:r>
    </w:p>
    <w:p>
      <w:pPr>
        <w:pStyle w:val="ListParagraph"/>
        <w:numPr>
          <w:ilvl w:val="0"/>
          <w:numId w:val="2"/>
        </w:numPr>
      </w:pPr>
      <w:r>
        <w:rPr>
          <w:rFonts w:ascii="Arial" w:cs="Arial" w:eastAsia="Arial" w:hAnsi="Arial"/>
          <w:sz w:val="22"/>
          <w:szCs w:val="22"/>
        </w:rPr>
        <w:t xml:space="preserve">Flat-pack components: Wall panels, flooring systems, and roof elements for container shipping and local assembly.</w:t>
      </w:r>
    </w:p>
    <w:p>
      <w:pPr>
        <w:pStyle w:val="ListParagraph"/>
        <w:numPr>
          <w:ilvl w:val="0"/>
          <w:numId w:val="2"/>
        </w:numPr>
      </w:pPr>
      <w:r>
        <w:rPr>
          <w:rFonts w:ascii="Arial" w:cs="Arial" w:eastAsia="Arial" w:hAnsi="Arial"/>
          <w:sz w:val="22"/>
          <w:szCs w:val="22"/>
        </w:rPr>
        <w:t xml:space="preserve">Fixtures and fittings: Tapware, sanitary ware, door hardware meeting specified Australian Standards.</w:t>
      </w:r>
    </w:p>
    <w:p>
      <w:r>
        <w:br w:type="page"/>
      </w:r>
    </w:p>
    <w:p>
      <w:pPr>
        <w:pStyle w:val="Heading1"/>
      </w:pPr>
      <w:r>
        <w:t xml:space="preserve">6. Key Compliance Requirements for Manufacturers</w:t>
      </w:r>
    </w:p>
    <w:p>
      <w:pPr>
        <w:spacing w:after="120"/>
      </w:pPr>
      <w:r>
        <w:rPr>
          <w:rFonts w:ascii="Arial" w:cs="Arial" w:eastAsia="Arial" w:hAnsi="Arial"/>
          <w:sz w:val="22"/>
          <w:szCs w:val="22"/>
        </w:rPr>
        <w:t xml:space="preserve">Any manufacturer engaged under the Factory-to-Key model must comply with the following critical requirements drawn from the DHW specification suite:</w:t>
      </w:r>
    </w:p>
    <w:p>
      <w:pPr>
        <w:pStyle w:val="Heading2"/>
      </w:pPr>
      <w:r>
        <w:t xml:space="preserve">6.1 Structural &amp; Wind Rating</w:t>
      </w:r>
    </w:p>
    <w:p>
      <w:pPr>
        <w:pStyle w:val="ListParagraph"/>
        <w:numPr>
          <w:ilvl w:val="0"/>
          <w:numId w:val="2"/>
        </w:numPr>
      </w:pPr>
      <w:r>
        <w:rPr>
          <w:rFonts w:ascii="Arial" w:cs="Arial" w:eastAsia="Arial" w:hAnsi="Arial"/>
          <w:sz w:val="22"/>
          <w:szCs w:val="22"/>
        </w:rPr>
        <w:t xml:space="preserve">Standard metro areas: Wind Region A per AS/NZS 1170.2 (2021), Terrain Category 2.</w:t>
      </w:r>
    </w:p>
    <w:p>
      <w:pPr>
        <w:pStyle w:val="ListParagraph"/>
        <w:numPr>
          <w:ilvl w:val="0"/>
          <w:numId w:val="2"/>
        </w:numPr>
      </w:pPr>
      <w:r>
        <w:rPr>
          <w:rFonts w:ascii="Arial" w:cs="Arial" w:eastAsia="Arial" w:hAnsi="Arial"/>
          <w:sz w:val="22"/>
          <w:szCs w:val="22"/>
        </w:rPr>
        <w:t xml:space="preserve">Northwest/cyclone areas: Wind Region C or D, Terrain Category 1 for prefabricated housing. Maximum truss spacing 1200mm.</w:t>
      </w:r>
    </w:p>
    <w:p>
      <w:pPr>
        <w:pStyle w:val="ListParagraph"/>
        <w:numPr>
          <w:ilvl w:val="0"/>
          <w:numId w:val="2"/>
        </w:numPr>
      </w:pPr>
      <w:r>
        <w:rPr>
          <w:rFonts w:ascii="Arial" w:cs="Arial" w:eastAsia="Arial" w:hAnsi="Arial"/>
          <w:sz w:val="22"/>
          <w:szCs w:val="22"/>
        </w:rPr>
        <w:t xml:space="preserve">All light steel framing: Independent certification by professional engineer for both design and erected framing.</w:t>
      </w:r>
    </w:p>
    <w:p>
      <w:pPr>
        <w:pStyle w:val="ListParagraph"/>
        <w:numPr>
          <w:ilvl w:val="0"/>
          <w:numId w:val="2"/>
        </w:numPr>
      </w:pPr>
      <w:r>
        <w:rPr>
          <w:rFonts w:ascii="Arial" w:cs="Arial" w:eastAsia="Arial" w:hAnsi="Arial"/>
          <w:sz w:val="22"/>
          <w:szCs w:val="22"/>
        </w:rPr>
        <w:t xml:space="preserve">Cyclone debris screens: Stainless steel mesh welded to extruded aluminium frames, hinged or sliding with keyless one-touch locking for egress.</w:t>
      </w:r>
    </w:p>
    <w:p>
      <w:pPr>
        <w:pStyle w:val="Heading2"/>
      </w:pPr>
      <w:r>
        <w:t xml:space="preserve">6.2 Sustainability &amp; VOC Limits</w:t>
      </w:r>
    </w:p>
    <w:p>
      <w:pPr>
        <w:pStyle w:val="ListParagraph"/>
        <w:numPr>
          <w:ilvl w:val="0"/>
          <w:numId w:val="2"/>
        </w:numPr>
      </w:pPr>
      <w:r>
        <w:rPr>
          <w:rFonts w:ascii="Arial" w:cs="Arial" w:eastAsia="Arial" w:hAnsi="Arial"/>
          <w:sz w:val="22"/>
          <w:szCs w:val="22"/>
        </w:rPr>
        <w:t xml:space="preserve">Interior wall/ceiling paint: Maximum 16 g/L TVOC.</w:t>
      </w:r>
    </w:p>
    <w:p>
      <w:pPr>
        <w:pStyle w:val="ListParagraph"/>
        <w:numPr>
          <w:ilvl w:val="0"/>
          <w:numId w:val="2"/>
        </w:numPr>
      </w:pPr>
      <w:r>
        <w:rPr>
          <w:rFonts w:ascii="Arial" w:cs="Arial" w:eastAsia="Arial" w:hAnsi="Arial"/>
          <w:sz w:val="22"/>
          <w:szCs w:val="22"/>
        </w:rPr>
        <w:t xml:space="preserve">General adhesives/sealants: Maximum 50 g/L TVOC.</w:t>
      </w:r>
    </w:p>
    <w:p>
      <w:pPr>
        <w:pStyle w:val="ListParagraph"/>
        <w:numPr>
          <w:ilvl w:val="0"/>
          <w:numId w:val="2"/>
        </w:numPr>
      </w:pPr>
      <w:r>
        <w:rPr>
          <w:rFonts w:ascii="Arial" w:cs="Arial" w:eastAsia="Arial" w:hAnsi="Arial"/>
          <w:sz w:val="22"/>
          <w:szCs w:val="22"/>
        </w:rPr>
        <w:t xml:space="preserve">Floor coatings: Maximum 140 g/L TVOC.</w:t>
      </w:r>
    </w:p>
    <w:p>
      <w:pPr>
        <w:pStyle w:val="ListParagraph"/>
        <w:numPr>
          <w:ilvl w:val="0"/>
          <w:numId w:val="2"/>
        </w:numPr>
      </w:pPr>
      <w:r>
        <w:rPr>
          <w:rFonts w:ascii="Arial" w:cs="Arial" w:eastAsia="Arial" w:hAnsi="Arial"/>
          <w:sz w:val="22"/>
          <w:szCs w:val="22"/>
        </w:rPr>
        <w:t xml:space="preserve">Prohibited: CFC/HCFC blowing agents, materials with GWP ≥ 700.</w:t>
      </w:r>
    </w:p>
    <w:p>
      <w:pPr>
        <w:pStyle w:val="Heading2"/>
      </w:pPr>
      <w:r>
        <w:t xml:space="preserve">6.3 Northwest-Specific Requirements</w:t>
      </w:r>
    </w:p>
    <w:p>
      <w:pPr>
        <w:pStyle w:val="ListParagraph"/>
        <w:numPr>
          <w:ilvl w:val="0"/>
          <w:numId w:val="2"/>
        </w:numPr>
      </w:pPr>
      <w:r>
        <w:rPr>
          <w:rFonts w:ascii="Arial" w:cs="Arial" w:eastAsia="Arial" w:hAnsi="Arial"/>
          <w:sz w:val="22"/>
          <w:szCs w:val="22"/>
        </w:rPr>
        <w:t xml:space="preserve">Minimum ceiling height 2700mm for all dwellings north of 27° latitude.</w:t>
      </w:r>
    </w:p>
    <w:p>
      <w:pPr>
        <w:pStyle w:val="ListParagraph"/>
        <w:numPr>
          <w:ilvl w:val="0"/>
          <w:numId w:val="2"/>
        </w:numPr>
      </w:pPr>
      <w:r>
        <w:rPr>
          <w:rFonts w:ascii="Arial" w:cs="Arial" w:eastAsia="Arial" w:hAnsi="Arial"/>
          <w:sz w:val="22"/>
          <w:szCs w:val="22"/>
        </w:rPr>
        <w:t xml:space="preserve">Ceiling fans minimum 1400mm diameter to all bedrooms and living areas.</w:t>
      </w:r>
    </w:p>
    <w:p>
      <w:pPr>
        <w:pStyle w:val="ListParagraph"/>
        <w:numPr>
          <w:ilvl w:val="0"/>
          <w:numId w:val="2"/>
        </w:numPr>
      </w:pPr>
      <w:r>
        <w:rPr>
          <w:rFonts w:ascii="Arial" w:cs="Arial" w:eastAsia="Arial" w:hAnsi="Arial"/>
          <w:sz w:val="22"/>
          <w:szCs w:val="22"/>
        </w:rPr>
        <w:t xml:space="preserve">Exhaust fans not to be flume vented through roof (self-closing mechanism required).</w:t>
      </w:r>
    </w:p>
    <w:p>
      <w:pPr>
        <w:pStyle w:val="ListParagraph"/>
        <w:numPr>
          <w:ilvl w:val="0"/>
          <w:numId w:val="2"/>
        </w:numPr>
      </w:pPr>
      <w:r>
        <w:rPr>
          <w:rFonts w:ascii="Arial" w:cs="Arial" w:eastAsia="Arial" w:hAnsi="Arial"/>
          <w:sz w:val="22"/>
          <w:szCs w:val="22"/>
        </w:rPr>
        <w:t xml:space="preserve">Site density maximum 2 dwellings per 1000m² in NW regions.</w:t>
      </w:r>
    </w:p>
    <w:p>
      <w:pPr>
        <w:pStyle w:val="ListParagraph"/>
        <w:numPr>
          <w:ilvl w:val="0"/>
          <w:numId w:val="2"/>
        </w:numPr>
      </w:pPr>
      <w:r>
        <w:rPr>
          <w:rFonts w:ascii="Arial" w:cs="Arial" w:eastAsia="Arial" w:hAnsi="Arial"/>
          <w:sz w:val="22"/>
          <w:szCs w:val="22"/>
        </w:rPr>
        <w:t xml:space="preserve">Permeable and semi-permeable fencing for airflow between dwellings.</w:t>
      </w:r>
    </w:p>
    <w:p>
      <w:pPr>
        <w:pStyle w:val="ListParagraph"/>
        <w:numPr>
          <w:ilvl w:val="0"/>
          <w:numId w:val="2"/>
        </w:numPr>
      </w:pPr>
      <w:r>
        <w:rPr>
          <w:rFonts w:ascii="Arial" w:cs="Arial" w:eastAsia="Arial" w:hAnsi="Arial"/>
          <w:sz w:val="22"/>
          <w:szCs w:val="22"/>
        </w:rPr>
        <w:t xml:space="preserve">Light-coloured roofing, walls, and paving to minimise heat absorption.</w:t>
      </w:r>
    </w:p>
    <w:p>
      <w:pPr>
        <w:pStyle w:val="ListParagraph"/>
        <w:numPr>
          <w:ilvl w:val="0"/>
          <w:numId w:val="2"/>
        </w:numPr>
      </w:pPr>
      <w:r>
        <w:rPr>
          <w:rFonts w:ascii="Arial" w:cs="Arial" w:eastAsia="Arial" w:hAnsi="Arial"/>
          <w:sz w:val="22"/>
          <w:szCs w:val="22"/>
        </w:rPr>
        <w:t xml:space="preserve">Larger outdoor living areas designed for tropical lifestyle.</w:t>
      </w:r>
    </w:p>
    <w:p>
      <w:pPr>
        <w:pStyle w:val="Heading2"/>
      </w:pPr>
      <w:r>
        <w:t xml:space="preserve">6.4 Prefabricated Housing Specific</w:t>
      </w:r>
    </w:p>
    <w:p>
      <w:pPr>
        <w:pStyle w:val="ListParagraph"/>
        <w:numPr>
          <w:ilvl w:val="0"/>
          <w:numId w:val="2"/>
        </w:numPr>
      </w:pPr>
      <w:r>
        <w:rPr>
          <w:rFonts w:ascii="Arial" w:cs="Arial" w:eastAsia="Arial" w:hAnsi="Arial"/>
          <w:sz w:val="22"/>
          <w:szCs w:val="22"/>
        </w:rPr>
        <w:t xml:space="preserve">Designed for future disassembly into original module units for relocation.</w:t>
      </w:r>
    </w:p>
    <w:p>
      <w:pPr>
        <w:pStyle w:val="ListParagraph"/>
        <w:numPr>
          <w:ilvl w:val="0"/>
          <w:numId w:val="2"/>
        </w:numPr>
      </w:pPr>
      <w:r>
        <w:rPr>
          <w:rFonts w:ascii="Arial" w:cs="Arial" w:eastAsia="Arial" w:hAnsi="Arial"/>
          <w:sz w:val="22"/>
          <w:szCs w:val="22"/>
        </w:rPr>
        <w:t xml:space="preserve">Prototype required: One single storey and one two storey dwelling prototype before production.</w:t>
      </w:r>
    </w:p>
    <w:p>
      <w:pPr>
        <w:pStyle w:val="ListParagraph"/>
        <w:numPr>
          <w:ilvl w:val="0"/>
          <w:numId w:val="2"/>
        </w:numPr>
      </w:pPr>
      <w:r>
        <w:rPr>
          <w:rFonts w:ascii="Arial" w:cs="Arial" w:eastAsia="Arial" w:hAnsi="Arial"/>
          <w:sz w:val="22"/>
          <w:szCs w:val="22"/>
        </w:rPr>
        <w:t xml:space="preserve">As-constructed drawings in PDF, DXF, and DWG formats including disassembly instructions.</w:t>
      </w:r>
    </w:p>
    <w:p>
      <w:pPr>
        <w:pStyle w:val="ListParagraph"/>
        <w:numPr>
          <w:ilvl w:val="0"/>
          <w:numId w:val="2"/>
        </w:numPr>
      </w:pPr>
      <w:r>
        <w:rPr>
          <w:rFonts w:ascii="Arial" w:cs="Arial" w:eastAsia="Arial" w:hAnsi="Arial"/>
          <w:sz w:val="22"/>
          <w:szCs w:val="22"/>
        </w:rPr>
        <w:t xml:space="preserve">Safe work method statements specific to precast erection and module installation.</w:t>
      </w:r>
    </w:p>
    <w:p>
      <w:pPr>
        <w:pStyle w:val="ListParagraph"/>
        <w:numPr>
          <w:ilvl w:val="0"/>
          <w:numId w:val="2"/>
        </w:numPr>
      </w:pPr>
      <w:r>
        <w:rPr>
          <w:rFonts w:ascii="Arial" w:cs="Arial" w:eastAsia="Arial" w:hAnsi="Arial"/>
          <w:sz w:val="22"/>
          <w:szCs w:val="22"/>
        </w:rPr>
        <w:t xml:space="preserve">All structural drawings to include lifting points and temporary bracing for handling modules.</w:t>
      </w:r>
    </w:p>
    <w:p>
      <w:pPr>
        <w:pStyle w:val="Heading1"/>
      </w:pPr>
      <w:r>
        <w:t xml:space="preserve">7. Dwelling Types &amp; Size Requirements</w:t>
      </w:r>
    </w:p>
    <w:p>
      <w:pPr>
        <w:spacing w:after="120"/>
      </w:pPr>
      <w:r>
        <w:rPr>
          <w:rFonts w:ascii="Arial" w:cs="Arial" w:eastAsia="Arial" w:hAnsi="Arial"/>
          <w:sz w:val="22"/>
          <w:szCs w:val="22"/>
        </w:rPr>
        <w:t xml:space="preserve">The design briefs specify the following dwelling typologies across the program streams:</w:t>
      </w:r>
    </w:p>
    <w:p>
      <w:pPr>
        <w:pStyle w:val="Heading2"/>
      </w:pPr>
      <w:r>
        <w:t xml:space="preserve">7.1 GROH &amp; Single Dwellings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000"/>
        <w:gridCol w:w="3026"/>
      </w:tblGrid>
      <w:tr>
        <w:tc>
          <w:tcPr>
            <w:tcW w:type="dxa" w:w="20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Dwelling Type</w:t>
            </w:r>
          </w:p>
        </w:tc>
        <w:tc>
          <w:tcPr>
            <w:tcW w:type="dxa" w:w="20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Master Bed</w:t>
            </w:r>
          </w:p>
        </w:tc>
        <w:tc>
          <w:tcPr>
            <w:tcW w:type="dxa" w:w="20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Other Beds</w:t>
            </w:r>
          </w:p>
        </w:tc>
        <w:tc>
          <w:tcPr>
            <w:tcW w:type="dxa" w:w="3026"/>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Storeroom</w:t>
            </w:r>
          </w:p>
        </w:tc>
      </w:tr>
      <w:tr>
        <w:tc>
          <w:tcPr>
            <w:tcW w:type="dxa" w:w="20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1 Bedroom</w:t>
            </w:r>
          </w:p>
        </w:tc>
        <w:tc>
          <w:tcPr>
            <w:tcW w:type="dxa" w:w="20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16m² min</w:t>
            </w:r>
          </w:p>
        </w:tc>
        <w:tc>
          <w:tcPr>
            <w:tcW w:type="dxa" w:w="20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N/A</w:t>
            </w:r>
          </w:p>
        </w:tc>
        <w:tc>
          <w:tcPr>
            <w:tcW w:type="dxa" w:w="3026"/>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4m²</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 Bedroom</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16m² min</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10m² each</w:t>
            </w:r>
          </w:p>
        </w:tc>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6m²</w:t>
            </w:r>
          </w:p>
        </w:tc>
      </w:tr>
      <w:tr>
        <w:tc>
          <w:tcPr>
            <w:tcW w:type="dxa" w:w="20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3 Bedroom</w:t>
            </w:r>
          </w:p>
        </w:tc>
        <w:tc>
          <w:tcPr>
            <w:tcW w:type="dxa" w:w="20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16m² min</w:t>
            </w:r>
          </w:p>
        </w:tc>
        <w:tc>
          <w:tcPr>
            <w:tcW w:type="dxa" w:w="20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10m² each</w:t>
            </w:r>
          </w:p>
        </w:tc>
        <w:tc>
          <w:tcPr>
            <w:tcW w:type="dxa" w:w="3026"/>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9m²</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 Bedroom</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16m² min</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10m² each</w:t>
            </w:r>
          </w:p>
        </w:tc>
        <w:tc>
          <w:tcPr>
            <w:tcW w:type="dxa" w:w="3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9m²</w:t>
            </w:r>
          </w:p>
        </w:tc>
      </w:tr>
      <w:tr>
        <w:tc>
          <w:tcPr>
            <w:tcW w:type="dxa" w:w="20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5 Bedroom</w:t>
            </w:r>
          </w:p>
        </w:tc>
        <w:tc>
          <w:tcPr>
            <w:tcW w:type="dxa" w:w="20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16m² min</w:t>
            </w:r>
          </w:p>
        </w:tc>
        <w:tc>
          <w:tcPr>
            <w:tcW w:type="dxa" w:w="20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10m² each</w:t>
            </w:r>
          </w:p>
        </w:tc>
        <w:tc>
          <w:tcPr>
            <w:tcW w:type="dxa" w:w="3026"/>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9m²</w:t>
            </w:r>
          </w:p>
        </w:tc>
      </w:tr>
    </w:tbl>
    <w:p>
      <w:pPr>
        <w:spacing w:after="120"/>
      </w:pPr>
      <w:r>
        <w:rPr>
          <w:rFonts w:ascii="Arial" w:cs="Arial" w:eastAsia="Arial" w:hAnsi="Arial"/>
          <w:sz w:val="22"/>
          <w:szCs w:val="22"/>
        </w:rPr>
        <w:t xml:space="preserve"/>
      </w:r>
    </w:p>
    <w:p>
      <w:pPr>
        <w:pStyle w:val="Heading2"/>
      </w:pPr>
      <w:r>
        <w:t xml:space="preserve">7.2 Apartments</w:t>
      </w:r>
    </w:p>
    <w:p>
      <w:pPr>
        <w:pStyle w:val="ListParagraph"/>
        <w:numPr>
          <w:ilvl w:val="0"/>
          <w:numId w:val="2"/>
        </w:numPr>
      </w:pPr>
      <w:r>
        <w:rPr>
          <w:rFonts w:ascii="Arial" w:cs="Arial" w:eastAsia="Arial" w:hAnsi="Arial"/>
          <w:sz w:val="22"/>
          <w:szCs w:val="22"/>
        </w:rPr>
        <w:t xml:space="preserve">Studio, 1-bed, 2-bed, and 3+ bed configurations specified.</w:t>
      </w:r>
    </w:p>
    <w:p>
      <w:pPr>
        <w:pStyle w:val="ListParagraph"/>
        <w:numPr>
          <w:ilvl w:val="0"/>
          <w:numId w:val="2"/>
        </w:numPr>
      </w:pPr>
      <w:r>
        <w:rPr>
          <w:rFonts w:ascii="Arial" w:cs="Arial" w:eastAsia="Arial" w:hAnsi="Arial"/>
          <w:sz w:val="22"/>
          <w:szCs w:val="22"/>
        </w:rPr>
        <w:t xml:space="preserve">Laundry provisions scaled by size: 1400mm x 700mm recess for studio/1-bed/2-bed; 1800mm x 700mm for 3+ bed.</w:t>
      </w:r>
    </w:p>
    <w:p>
      <w:pPr>
        <w:pStyle w:val="ListParagraph"/>
        <w:numPr>
          <w:ilvl w:val="0"/>
          <w:numId w:val="2"/>
        </w:numPr>
      </w:pPr>
      <w:r>
        <w:rPr>
          <w:rFonts w:ascii="Arial" w:cs="Arial" w:eastAsia="Arial" w:hAnsi="Arial"/>
          <w:sz w:val="22"/>
          <w:szCs w:val="22"/>
        </w:rPr>
        <w:t xml:space="preserve">Dedicated linen storage: minimum 1000mm x 450mm x 2100mm per dwelling.</w:t>
      </w:r>
    </w:p>
    <w:p>
      <w:pPr>
        <w:pStyle w:val="ListParagraph"/>
        <w:numPr>
          <w:ilvl w:val="0"/>
          <w:numId w:val="2"/>
        </w:numPr>
      </w:pPr>
      <w:r>
        <w:rPr>
          <w:rFonts w:ascii="Arial" w:cs="Arial" w:eastAsia="Arial" w:hAnsi="Arial"/>
          <w:sz w:val="22"/>
          <w:szCs w:val="22"/>
        </w:rPr>
        <w:t xml:space="preserve">Utility concealment requirements (AC condensers on roof, screened recesses, or within stores).</w:t>
      </w:r>
    </w:p>
    <w:p>
      <w:pPr>
        <w:pStyle w:val="ListParagraph"/>
        <w:numPr>
          <w:ilvl w:val="0"/>
          <w:numId w:val="2"/>
        </w:numPr>
      </w:pPr>
      <w:r>
        <w:rPr>
          <w:rFonts w:ascii="Arial" w:cs="Arial" w:eastAsia="Arial" w:hAnsi="Arial"/>
          <w:sz w:val="22"/>
          <w:szCs w:val="22"/>
        </w:rPr>
        <w:t xml:space="preserve">Fencing must balance permeability (passive surveillance) with privacy in three tiers: highly permeable, semi-permeable, and non-permeable.</w:t>
      </w:r>
    </w:p>
    <w:p>
      <w:r>
        <w:br w:type="page"/>
      </w:r>
    </w:p>
    <w:p>
      <w:pPr>
        <w:pStyle w:val="Heading1"/>
      </w:pPr>
      <w:r>
        <w:t xml:space="preserve">8. Strategic Advantages of the Central Integrator Model</w:t>
      </w:r>
    </w:p>
    <w:p>
      <w:pPr>
        <w:pStyle w:val="Heading2"/>
      </w:pPr>
      <w:r>
        <w:t xml:space="preserve">8.1 For the DHW (Principal)</w:t>
      </w:r>
    </w:p>
    <w:p>
      <w:pPr>
        <w:pStyle w:val="ListParagraph"/>
        <w:numPr>
          <w:ilvl w:val="0"/>
          <w:numId w:val="2"/>
        </w:numPr>
      </w:pPr>
      <w:r>
        <w:rPr>
          <w:rFonts w:ascii="Arial" w:cs="Arial" w:eastAsia="Arial" w:hAnsi="Arial"/>
          <w:sz w:val="22"/>
          <w:szCs w:val="22"/>
        </w:rPr>
        <w:t xml:space="preserve">Single point of accountability across the entire delivery chain, reducing contract management burden.</w:t>
      </w:r>
    </w:p>
    <w:p>
      <w:pPr>
        <w:pStyle w:val="ListParagraph"/>
        <w:numPr>
          <w:ilvl w:val="0"/>
          <w:numId w:val="2"/>
        </w:numPr>
      </w:pPr>
      <w:r>
        <w:rPr>
          <w:rFonts w:ascii="Arial" w:cs="Arial" w:eastAsia="Arial" w:hAnsi="Arial"/>
          <w:sz w:val="22"/>
          <w:szCs w:val="22"/>
        </w:rPr>
        <w:t xml:space="preserve">Faster delivery timelines through parallel off-site fabrication and on-site preparation.</w:t>
      </w:r>
    </w:p>
    <w:p>
      <w:pPr>
        <w:pStyle w:val="ListParagraph"/>
        <w:numPr>
          <w:ilvl w:val="0"/>
          <w:numId w:val="2"/>
        </w:numPr>
      </w:pPr>
      <w:r>
        <w:rPr>
          <w:rFonts w:ascii="Arial" w:cs="Arial" w:eastAsia="Arial" w:hAnsi="Arial"/>
          <w:sz w:val="22"/>
          <w:szCs w:val="22"/>
        </w:rPr>
        <w:t xml:space="preserve">Consistent quality through centralised QA programs aligned to the 2025 specification suite.</w:t>
      </w:r>
    </w:p>
    <w:p>
      <w:pPr>
        <w:pStyle w:val="ListParagraph"/>
        <w:numPr>
          <w:ilvl w:val="0"/>
          <w:numId w:val="2"/>
        </w:numPr>
      </w:pPr>
      <w:r>
        <w:rPr>
          <w:rFonts w:ascii="Arial" w:cs="Arial" w:eastAsia="Arial" w:hAnsi="Arial"/>
          <w:sz w:val="22"/>
          <w:szCs w:val="22"/>
        </w:rPr>
        <w:t xml:space="preserve">Scalability across the five program streams with standardised processes.</w:t>
      </w:r>
    </w:p>
    <w:p>
      <w:pPr>
        <w:pStyle w:val="ListParagraph"/>
        <w:numPr>
          <w:ilvl w:val="0"/>
          <w:numId w:val="2"/>
        </w:numPr>
      </w:pPr>
      <w:r>
        <w:rPr>
          <w:rFonts w:ascii="Arial" w:cs="Arial" w:eastAsia="Arial" w:hAnsi="Arial"/>
          <w:sz w:val="22"/>
          <w:szCs w:val="22"/>
        </w:rPr>
        <w:t xml:space="preserve">Cost certainty through factory production controls and locked-in supply agreements.</w:t>
      </w:r>
    </w:p>
    <w:p>
      <w:pPr>
        <w:pStyle w:val="Heading2"/>
      </w:pPr>
      <w:r>
        <w:t xml:space="preserve">8.2 For the Central Integrator</w:t>
      </w:r>
    </w:p>
    <w:p>
      <w:pPr>
        <w:pStyle w:val="ListParagraph"/>
        <w:numPr>
          <w:ilvl w:val="0"/>
          <w:numId w:val="2"/>
        </w:numPr>
      </w:pPr>
      <w:r>
        <w:rPr>
          <w:rFonts w:ascii="Arial" w:cs="Arial" w:eastAsia="Arial" w:hAnsi="Arial"/>
          <w:sz w:val="22"/>
          <w:szCs w:val="22"/>
        </w:rPr>
        <w:t xml:space="preserve">Revenue from project management fees across all five program streams.</w:t>
      </w:r>
    </w:p>
    <w:p>
      <w:pPr>
        <w:pStyle w:val="ListParagraph"/>
        <w:numPr>
          <w:ilvl w:val="0"/>
          <w:numId w:val="2"/>
        </w:numPr>
      </w:pPr>
      <w:r>
        <w:rPr>
          <w:rFonts w:ascii="Arial" w:cs="Arial" w:eastAsia="Arial" w:hAnsi="Arial"/>
          <w:sz w:val="22"/>
          <w:szCs w:val="22"/>
        </w:rPr>
        <w:t xml:space="preserve">Margin on manufacturer coordination, logistics, and procurement.</w:t>
      </w:r>
    </w:p>
    <w:p>
      <w:pPr>
        <w:pStyle w:val="ListParagraph"/>
        <w:numPr>
          <w:ilvl w:val="0"/>
          <w:numId w:val="2"/>
        </w:numPr>
      </w:pPr>
      <w:r>
        <w:rPr>
          <w:rFonts w:ascii="Arial" w:cs="Arial" w:eastAsia="Arial" w:hAnsi="Arial"/>
          <w:sz w:val="22"/>
          <w:szCs w:val="22"/>
        </w:rPr>
        <w:t xml:space="preserve">Long-term pipeline: DHW investment maps indicate sustained multi-year demand across 100+ suburbs.</w:t>
      </w:r>
    </w:p>
    <w:p>
      <w:pPr>
        <w:pStyle w:val="ListParagraph"/>
        <w:numPr>
          <w:ilvl w:val="0"/>
          <w:numId w:val="2"/>
        </w:numPr>
      </w:pPr>
      <w:r>
        <w:rPr>
          <w:rFonts w:ascii="Arial" w:cs="Arial" w:eastAsia="Arial" w:hAnsi="Arial"/>
          <w:sz w:val="22"/>
          <w:szCs w:val="22"/>
        </w:rPr>
        <w:t xml:space="preserve">Intellectual property development in specification compliance, logistics solutions, and manufacturer qualification processes.</w:t>
      </w:r>
    </w:p>
    <w:p>
      <w:pPr>
        <w:pStyle w:val="ListParagraph"/>
        <w:numPr>
          <w:ilvl w:val="0"/>
          <w:numId w:val="2"/>
        </w:numPr>
      </w:pPr>
      <w:r>
        <w:rPr>
          <w:rFonts w:ascii="Arial" w:cs="Arial" w:eastAsia="Arial" w:hAnsi="Arial"/>
          <w:sz w:val="22"/>
          <w:szCs w:val="22"/>
        </w:rPr>
        <w:t xml:space="preserve">Expansion potential: The model can be replicated to other state housing authorities using the same manufacturer network.</w:t>
      </w:r>
    </w:p>
    <w:p>
      <w:pPr>
        <w:pStyle w:val="Heading2"/>
      </w:pPr>
      <w:r>
        <w:t xml:space="preserve">8.3 Competitive Differentiation</w:t>
      </w:r>
    </w:p>
    <w:p>
      <w:pPr>
        <w:pStyle w:val="ListParagraph"/>
        <w:numPr>
          <w:ilvl w:val="0"/>
          <w:numId w:val="2"/>
        </w:numPr>
      </w:pPr>
      <w:r>
        <w:rPr>
          <w:rFonts w:ascii="Arial" w:cs="Arial" w:eastAsia="Arial" w:hAnsi="Arial"/>
          <w:sz w:val="22"/>
          <w:szCs w:val="22"/>
        </w:rPr>
        <w:t xml:space="preserve">Deep understanding of the complete DHW specification framework (12 documents, 2025 edition).</w:t>
      </w:r>
    </w:p>
    <w:p>
      <w:pPr>
        <w:pStyle w:val="ListParagraph"/>
        <w:numPr>
          <w:ilvl w:val="0"/>
          <w:numId w:val="2"/>
        </w:numPr>
      </w:pPr>
      <w:r>
        <w:rPr>
          <w:rFonts w:ascii="Arial" w:cs="Arial" w:eastAsia="Arial" w:hAnsi="Arial"/>
          <w:sz w:val="22"/>
          <w:szCs w:val="22"/>
        </w:rPr>
        <w:t xml:space="preserve">Multi-manufacturer coordination capability spanning Australian fabricators and Asian module producers.</w:t>
      </w:r>
    </w:p>
    <w:p>
      <w:pPr>
        <w:pStyle w:val="ListParagraph"/>
        <w:numPr>
          <w:ilvl w:val="0"/>
          <w:numId w:val="2"/>
        </w:numPr>
      </w:pPr>
      <w:r>
        <w:rPr>
          <w:rFonts w:ascii="Arial" w:cs="Arial" w:eastAsia="Arial" w:hAnsi="Arial"/>
          <w:sz w:val="22"/>
          <w:szCs w:val="22"/>
        </w:rPr>
        <w:t xml:space="preserve">Ability to service both standard (metro) and cyclone-rated (NW, Wind Region C/D) requirements.</w:t>
      </w:r>
    </w:p>
    <w:p>
      <w:pPr>
        <w:pStyle w:val="ListParagraph"/>
        <w:numPr>
          <w:ilvl w:val="0"/>
          <w:numId w:val="2"/>
        </w:numPr>
      </w:pPr>
      <w:r>
        <w:rPr>
          <w:rFonts w:ascii="Arial" w:cs="Arial" w:eastAsia="Arial" w:hAnsi="Arial"/>
          <w:sz w:val="22"/>
          <w:szCs w:val="22"/>
        </w:rPr>
        <w:t xml:space="preserve">Expertise in remote area logistics and Aboriginal community housing requirements (Supplement 3 compliance).</w:t>
      </w:r>
    </w:p>
    <w:p>
      <w:pPr>
        <w:pStyle w:val="Heading1"/>
      </w:pPr>
      <w:r>
        <w:t xml:space="preserve">9. Key Risk Considerations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200"/>
        <w:gridCol w:w="4326"/>
      </w:tblGrid>
      <w:tr>
        <w:tc>
          <w:tcPr>
            <w:tcW w:type="dxa" w:w="25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Risk</w:t>
            </w:r>
          </w:p>
        </w:tc>
        <w:tc>
          <w:tcPr>
            <w:tcW w:type="dxa" w:w="22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Impact</w:t>
            </w:r>
          </w:p>
        </w:tc>
        <w:tc>
          <w:tcPr>
            <w:tcW w:type="dxa" w:w="4326"/>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Mitigation</w:t>
            </w:r>
          </w:p>
        </w:tc>
      </w:tr>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Offshore manufacturer NCC non-compliance</w:t>
            </w:r>
          </w:p>
        </w:tc>
        <w:tc>
          <w:tcPr>
            <w:tcW w:type="dxa" w:w="22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CC0000"/>
                <w:sz w:val="20"/>
                <w:szCs w:val="20"/>
              </w:rPr>
              <w:t xml:space="preserve">High</w:t>
            </w:r>
          </w:p>
        </w:tc>
        <w:tc>
          <w:tcPr>
            <w:tcW w:type="dxa" w:w="4326"/>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Prototype testing regime before production. Third-party inspections at factory. Pre-qualification against Australian Standards.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Transport damage to modules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CC7700"/>
                <w:sz w:val="20"/>
                <w:szCs w:val="20"/>
              </w:rPr>
              <w:t xml:space="preserve">Medium</w:t>
            </w:r>
          </w:p>
        </w:tc>
        <w:tc>
          <w:tcPr>
            <w:tcW w:type="dxa" w:w="43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Engineering transport frames, route surveys, insurance. Spec requires safe work method statements for handling.</w:t>
            </w:r>
          </w:p>
        </w:tc>
      </w:tr>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Cyclone compliance for NW projects</w:t>
            </w:r>
          </w:p>
        </w:tc>
        <w:tc>
          <w:tcPr>
            <w:tcW w:type="dxa" w:w="22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CC0000"/>
                <w:sz w:val="20"/>
                <w:szCs w:val="20"/>
              </w:rPr>
              <w:t xml:space="preserve">High</w:t>
            </w:r>
          </w:p>
        </w:tc>
        <w:tc>
          <w:tcPr>
            <w:tcW w:type="dxa" w:w="4326"/>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Professional engineer certification for all framing and connections. Wind Regions C/D testing. Supplement 1 and 3 compliance program.</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Remote site access and logistics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CC7700"/>
                <w:sz w:val="20"/>
                <w:szCs w:val="20"/>
              </w:rPr>
              <w:t xml:space="preserve">Medium</w:t>
            </w:r>
          </w:p>
        </w:tc>
        <w:tc>
          <w:tcPr>
            <w:tcW w:type="dxa" w:w="43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Pre-delivery site surveys. Wet season planning. Local labour partnerships in Kimberley/Pilbara.</w:t>
            </w:r>
          </w:p>
        </w:tc>
      </w:tr>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DHW specification changes</w:t>
            </w:r>
          </w:p>
        </w:tc>
        <w:tc>
          <w:tcPr>
            <w:tcW w:type="dxa" w:w="22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228B22"/>
                <w:sz w:val="20"/>
                <w:szCs w:val="20"/>
              </w:rPr>
              <w:t xml:space="preserve">Low</w:t>
            </w:r>
          </w:p>
        </w:tc>
        <w:tc>
          <w:tcPr>
            <w:tcW w:type="dxa" w:w="4326"/>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sz w:val="20"/>
                <w:szCs w:val="20"/>
              </w:rPr>
              <w:t xml:space="preserve">Current specs effective July 2025 are comprehensive. Design flexibility built into modular approach.</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Skilled labour shortages (remote)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CC0000"/>
                <w:sz w:val="20"/>
                <w:szCs w:val="20"/>
              </w:rPr>
              <w:t xml:space="preserve">High</w:t>
            </w:r>
          </w:p>
        </w:tc>
        <w:tc>
          <w:tcPr>
            <w:tcW w:type="dxa" w:w="43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Off-site fabrication reduces on-site labour dependency. Local workforce training programs. FIFO teams for installation.</w:t>
            </w:r>
          </w:p>
        </w:tc>
      </w:tr>
    </w:tbl>
    <w:p>
      <w:pPr>
        <w:spacing w:after="120"/>
      </w:pPr>
      <w:r>
        <w:rPr>
          <w:rFonts w:ascii="Arial" w:cs="Arial" w:eastAsia="Arial" w:hAnsi="Arial"/>
          <w:sz w:val="22"/>
          <w:szCs w:val="22"/>
        </w:rPr>
        <w:t xml:space="preserve"/>
      </w:r>
    </w:p>
    <w:p>
      <w:pPr>
        <w:pStyle w:val="Heading1"/>
      </w:pPr>
      <w:r>
        <w:t xml:space="preserve">10. Recommended Next Steps</w:t>
      </w:r>
    </w:p>
    <w:p>
      <w:pPr>
        <w:pStyle w:val="ListParagraph"/>
        <w:numPr>
          <w:ilvl w:val="0"/>
          <w:numId w:val="3"/>
        </w:numPr>
      </w:pPr>
      <w:r>
        <w:rPr>
          <w:rFonts w:ascii="Arial" w:cs="Arial" w:eastAsia="Arial" w:hAnsi="Arial"/>
          <w:sz w:val="22"/>
          <w:szCs w:val="22"/>
        </w:rPr>
        <w:t xml:space="preserve">Capability Statement: Develop a formal capability statement tailored to the DHW procurement framework, referencing the 2025 specification suite.</w:t>
      </w:r>
    </w:p>
    <w:p>
      <w:pPr>
        <w:pStyle w:val="ListParagraph"/>
        <w:numPr>
          <w:ilvl w:val="0"/>
          <w:numId w:val="3"/>
        </w:numPr>
      </w:pPr>
      <w:r>
        <w:rPr>
          <w:rFonts w:ascii="Arial" w:cs="Arial" w:eastAsia="Arial" w:hAnsi="Arial"/>
          <w:sz w:val="22"/>
          <w:szCs w:val="22"/>
        </w:rPr>
        <w:t xml:space="preserve">Manufacturer Pre-Qualification: Identify and pre-qualify 3–5 Australian steel frame fabricators and 2–3 Asian modular/flat-pack manufacturers against DHW specifications.</w:t>
      </w:r>
    </w:p>
    <w:p>
      <w:pPr>
        <w:pStyle w:val="ListParagraph"/>
        <w:numPr>
          <w:ilvl w:val="0"/>
          <w:numId w:val="3"/>
        </w:numPr>
      </w:pPr>
      <w:r>
        <w:rPr>
          <w:rFonts w:ascii="Arial" w:cs="Arial" w:eastAsia="Arial" w:hAnsi="Arial"/>
          <w:sz w:val="22"/>
          <w:szCs w:val="22"/>
        </w:rPr>
        <w:t xml:space="preserve">Prototype Costing: Develop indicative cost models for 2-bed, 3-bed, and 4-bed dwelling types across standard and cyclone-rated configurations.</w:t>
      </w:r>
    </w:p>
    <w:p>
      <w:pPr>
        <w:pStyle w:val="ListParagraph"/>
        <w:numPr>
          <w:ilvl w:val="0"/>
          <w:numId w:val="3"/>
        </w:numPr>
      </w:pPr>
      <w:r>
        <w:rPr>
          <w:rFonts w:ascii="Arial" w:cs="Arial" w:eastAsia="Arial" w:hAnsi="Arial"/>
          <w:sz w:val="22"/>
          <w:szCs w:val="22"/>
        </w:rPr>
        <w:t xml:space="preserve">Logistics Feasibility: Map transport routes and costs for Asian-sourced modules to Fremantle and regional NW ports (Broome, Port Hedland, Wyndham).</w:t>
      </w:r>
    </w:p>
    <w:p>
      <w:pPr>
        <w:pStyle w:val="ListParagraph"/>
        <w:numPr>
          <w:ilvl w:val="0"/>
          <w:numId w:val="3"/>
        </w:numPr>
      </w:pPr>
      <w:r>
        <w:rPr>
          <w:rFonts w:ascii="Arial" w:cs="Arial" w:eastAsia="Arial" w:hAnsi="Arial"/>
          <w:sz w:val="22"/>
          <w:szCs w:val="22"/>
        </w:rPr>
        <w:t xml:space="preserve">Stakeholder Engagement: Initiate discussions with DHW procurement team, targeting the Prefabricated Housing program as the entry point given the existing Design and Construct specification.</w:t>
      </w:r>
    </w:p>
    <w:p>
      <w:pPr>
        <w:pStyle w:val="ListParagraph"/>
        <w:numPr>
          <w:ilvl w:val="0"/>
          <w:numId w:val="3"/>
        </w:numPr>
      </w:pPr>
      <w:r>
        <w:rPr>
          <w:rFonts w:ascii="Arial" w:cs="Arial" w:eastAsia="Arial" w:hAnsi="Arial"/>
          <w:sz w:val="22"/>
          <w:szCs w:val="22"/>
        </w:rPr>
        <w:t xml:space="preserve">Panel Registration: Register interest for upcoming DHW building contractor and head contractor panels.</w:t>
      </w:r>
    </w:p>
    <w:p>
      <w:pPr>
        <w:spacing w:after="120"/>
      </w:pPr>
      <w:r>
        <w:rPr>
          <w:rFonts w:ascii="Arial" w:cs="Arial" w:eastAsia="Arial" w:hAnsi="Arial"/>
          <w:sz w:val="22"/>
          <w:szCs w:val="22"/>
        </w:rPr>
        <w:t xml:space="preserve"/>
      </w:r>
    </w:p>
    <w:p>
      <w:pPr>
        <w:pBdr>
          <w:top w:val="single" w:color="1B4F72" w:sz="4" w:space="8"/>
        </w:pBdr>
        <w:spacing w:before="400"/>
      </w:pPr>
      <w:r>
        <w:rPr>
          <w:rFonts w:ascii="Arial" w:cs="Arial" w:eastAsia="Arial" w:hAnsi="Arial"/>
          <w:i/>
          <w:iCs/>
          <w:color w:val="999999"/>
          <w:sz w:val="20"/>
          <w:szCs w:val="20"/>
        </w:rPr>
        <w:t xml:space="preserve">End of Assessment</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85C1E9" w:sz="4" w:space="4"/>
      </w:pBdr>
    </w:pPr>
    <w:r>
      <w:rPr>
        <w:rFonts w:ascii="Arial" w:cs="Arial" w:eastAsia="Arial" w:hAnsi="Arial"/>
        <w:i/>
        <w:iCs/>
        <w:color w:val="999999"/>
        <w:sz w:val="16"/>
        <w:szCs w:val="16"/>
      </w:rPr>
      <w:t xml:space="preserve">Factory-to-Key Opportunity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F72"/>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1B4F72"/>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2E86C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2026-02-19T03:30:27.910Z</dcterms:created>
  <dcterms:modified xsi:type="dcterms:W3CDTF">2026-02-19T03:30:27.911Z</dcterms:modified>
</cp:coreProperties>
</file>

<file path=docProps/custom.xml><?xml version="1.0" encoding="utf-8"?>
<Properties xmlns="http://schemas.openxmlformats.org/officeDocument/2006/custom-properties" xmlns:vt="http://schemas.openxmlformats.org/officeDocument/2006/docPropsVTypes"/>
</file>